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49"/>
        <w:gridCol w:w="257"/>
        <w:gridCol w:w="418"/>
        <w:gridCol w:w="147"/>
        <w:gridCol w:w="154"/>
        <w:gridCol w:w="258"/>
        <w:gridCol w:w="309"/>
        <w:gridCol w:w="116"/>
        <w:gridCol w:w="169"/>
        <w:gridCol w:w="299"/>
        <w:gridCol w:w="550"/>
        <w:gridCol w:w="143"/>
        <w:gridCol w:w="412"/>
        <w:gridCol w:w="145"/>
        <w:gridCol w:w="440"/>
        <w:gridCol w:w="152"/>
        <w:gridCol w:w="284"/>
        <w:gridCol w:w="133"/>
        <w:gridCol w:w="150"/>
        <w:gridCol w:w="129"/>
        <w:gridCol w:w="146"/>
        <w:gridCol w:w="267"/>
        <w:gridCol w:w="47"/>
        <w:gridCol w:w="85"/>
        <w:gridCol w:w="447"/>
        <w:gridCol w:w="146"/>
        <w:gridCol w:w="425"/>
        <w:gridCol w:w="425"/>
        <w:gridCol w:w="562"/>
        <w:gridCol w:w="573"/>
        <w:gridCol w:w="137"/>
        <w:gridCol w:w="288"/>
        <w:gridCol w:w="338"/>
        <w:gridCol w:w="539"/>
        <w:gridCol w:w="559"/>
      </w:tblGrid>
      <w:tr>
        <w:trPr>
          <w:trHeight w:val="1247" w:hRule="atLeast"/>
        </w:trPr>
        <w:tc>
          <w:tcPr>
            <w:tcW w:w="1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tulo3"/>
              <w:pBdr>
                <w:top w:val="nil"/>
              </w:pBdr>
              <w:snapToGrid w:val="false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744855" cy="744855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tulo3"/>
              <w:pBdr>
                <w:top w:val="nil"/>
              </w:pBdr>
              <w:snapToGrid w:val="false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0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0"/>
                <w:lang w:val="pt-BR" w:bidi="ar-SA"/>
              </w:rPr>
              <w:t>SECRETARIA DE SEGURANÇA PÚBLICA</w:t>
            </w:r>
          </w:p>
          <w:p>
            <w:pPr>
              <w:pStyle w:val="Ttulo2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i w:val="false"/>
                <w:i w:val="false"/>
                <w:sz w:val="22"/>
                <w:szCs w:val="20"/>
              </w:rPr>
            </w:pPr>
            <w:r>
              <w:rPr>
                <w:i w:val="false"/>
                <w:sz w:val="22"/>
                <w:szCs w:val="20"/>
              </w:rPr>
              <w:t xml:space="preserve">CORPO DE BOMBEIROS </w:t>
            </w:r>
            <w:r>
              <w:rPr>
                <w:i w:val="false"/>
                <w:sz w:val="22"/>
                <w:szCs w:val="20"/>
              </w:rPr>
              <w:t>MILITAR DO PARANÁ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MEMORIAL SIMPLIFICADO DE PREVENÇÃO A INCÊNDIOS E A DESASTRES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right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Folha 01/02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1. IDENTIFICAÇÃO DA EDIFICAÇÃO E/ OU ÁREA DE RISCO</w:t>
            </w:r>
          </w:p>
        </w:tc>
      </w:tr>
      <w:tr>
        <w:trPr>
          <w:trHeight w:val="283" w:hRule="atLeast"/>
        </w:trPr>
        <w:tc>
          <w:tcPr>
            <w:tcW w:w="2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Logradouro Público:</w:t>
            </w:r>
          </w:p>
        </w:tc>
        <w:tc>
          <w:tcPr>
            <w:tcW w:w="366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N°: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Complemento: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Bairro: </w:t>
            </w:r>
          </w:p>
        </w:tc>
        <w:tc>
          <w:tcPr>
            <w:tcW w:w="4408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113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Município:</w:t>
            </w:r>
          </w:p>
        </w:tc>
        <w:tc>
          <w:tcPr>
            <w:tcW w:w="274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UF: 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32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0" w:right="-420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Proprietário/ responsável pelo uso:</w:t>
            </w:r>
          </w:p>
        </w:tc>
        <w:tc>
          <w:tcPr>
            <w:tcW w:w="6972" w:type="dxa"/>
            <w:gridSpan w:val="24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1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CNPJ/CPF:</w:t>
            </w:r>
          </w:p>
        </w:tc>
        <w:tc>
          <w:tcPr>
            <w:tcW w:w="6540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Fone:</w:t>
            </w:r>
          </w:p>
        </w:tc>
        <w:tc>
          <w:tcPr>
            <w:tcW w:w="172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2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Responsável técnico:                                                                       </w:t>
            </w:r>
          </w:p>
        </w:tc>
        <w:tc>
          <w:tcPr>
            <w:tcW w:w="8106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1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Nº do registro:                                                                 </w:t>
            </w:r>
          </w:p>
        </w:tc>
        <w:tc>
          <w:tcPr>
            <w:tcW w:w="6239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Fone:</w:t>
            </w:r>
          </w:p>
        </w:tc>
        <w:tc>
          <w:tcPr>
            <w:tcW w:w="172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1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Áreas (m²):</w:t>
            </w:r>
          </w:p>
        </w:tc>
        <w:tc>
          <w:tcPr>
            <w:tcW w:w="115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Existente:</w:t>
            </w:r>
          </w:p>
        </w:tc>
        <w:tc>
          <w:tcPr>
            <w:tcW w:w="214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1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 construir:</w:t>
            </w:r>
          </w:p>
        </w:tc>
        <w:tc>
          <w:tcPr>
            <w:tcW w:w="2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Total:</w:t>
            </w:r>
          </w:p>
        </w:tc>
        <w:tc>
          <w:tcPr>
            <w:tcW w:w="172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1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Altura (m):</w:t>
            </w:r>
          </w:p>
        </w:tc>
        <w:tc>
          <w:tcPr>
            <w:tcW w:w="145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Nº de pavimentos:</w:t>
            </w:r>
          </w:p>
        </w:tc>
        <w:tc>
          <w:tcPr>
            <w:tcW w:w="168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Ocupação do subsolo: </w:t>
            </w: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43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Uso, divisão e descrição da ocupação principal:</w:t>
            </w:r>
          </w:p>
        </w:tc>
        <w:tc>
          <w:tcPr>
            <w:tcW w:w="5832" w:type="dxa"/>
            <w:gridSpan w:val="20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Risco:</w:t>
            </w:r>
          </w:p>
        </w:tc>
        <w:tc>
          <w:tcPr>
            <w:tcW w:w="256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  <w:tc>
          <w:tcPr>
            <w:tcW w:w="1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Carga de incêndio:</w:t>
            </w:r>
          </w:p>
        </w:tc>
        <w:tc>
          <w:tcPr>
            <w:tcW w:w="4984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xx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2. ELEMENTOS ESTRUTURAIS</w:t>
            </w:r>
          </w:p>
        </w:tc>
      </w:tr>
      <w:tr>
        <w:trPr>
          <w:trHeight w:val="283" w:hRule="atLeast"/>
        </w:trPr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Estrutura Portante: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x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Concreto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Aço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Madeira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Outros</w:t>
            </w:r>
          </w:p>
        </w:tc>
      </w:tr>
      <w:tr>
        <w:trPr>
          <w:trHeight w:val="283" w:hRule="atLeast"/>
        </w:trPr>
        <w:tc>
          <w:tcPr>
            <w:tcW w:w="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Estrutura de sustentação da cobertura                                   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x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Concreto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Aço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Madeira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Outros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3. MEDIDAS DE SEGURANÇA CONTRA INCÊNDIO</w:t>
            </w:r>
          </w:p>
        </w:tc>
      </w:tr>
      <w:tr>
        <w:trPr>
          <w:trHeight w:val="283" w:hRule="atLeast"/>
        </w:trPr>
        <w:tc>
          <w:tcPr>
            <w:tcW w:w="39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Item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Observações</w:t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Controle de Materiais de Acabamento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Saídas de Emergência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Iluminação de Emergência 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Sinalização de Emergência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Extintores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Brigada de incêndio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Outros (especificar)</w:t>
            </w:r>
          </w:p>
        </w:tc>
        <w:tc>
          <w:tcPr>
            <w:tcW w:w="62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4. RISCOS ESPECÍFICOS</w:t>
            </w:r>
          </w:p>
        </w:tc>
      </w:tr>
      <w:tr>
        <w:trPr>
          <w:trHeight w:val="283" w:hRule="atLeast"/>
        </w:trPr>
        <w:tc>
          <w:tcPr>
            <w:tcW w:w="56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Item</w:t>
            </w:r>
          </w:p>
        </w:tc>
        <w:tc>
          <w:tcPr>
            <w:tcW w:w="45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Quantitativo</w:t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</w:r>
          </w:p>
        </w:tc>
        <w:tc>
          <w:tcPr>
            <w:tcW w:w="50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Armazenamento de líquidos inflamáveis/ combustíveis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Gás Liquefeito de Petróleo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Armazenamento de produtos perigosos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Fogos de artifício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Vaso sob pressão (caldeira)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Outros (especificar)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5. DIMENSIONAMENTO DE POPULAÇÃO E SAÍDAS DE EMERGÊNCIA</w:t>
            </w:r>
          </w:p>
        </w:tc>
      </w:tr>
      <w:tr>
        <w:trPr>
          <w:trHeight w:val="283" w:hRule="atLeast"/>
        </w:trPr>
        <w:tc>
          <w:tcPr>
            <w:tcW w:w="48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Item</w:t>
            </w:r>
          </w:p>
        </w:tc>
        <w:tc>
          <w:tcPr>
            <w:tcW w:w="53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Quantitativo</w:t>
            </w:r>
          </w:p>
        </w:tc>
      </w:tr>
      <w:tr>
        <w:trPr>
          <w:trHeight w:val="283" w:hRule="atLeast"/>
        </w:trPr>
        <w:tc>
          <w:tcPr>
            <w:tcW w:w="48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Tipos de escada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8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População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174" w:leader="none"/>
              </w:tabs>
              <w:ind w:left="32" w:right="0" w:hanging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Demonstrativo de cálculo (se necessário)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6. AVALIAÇÃO DA CLASSIFICAÇÃO DA EDIFICAÇÃO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Declaro que a presente edificação se enquadra nos parâmetros da tabela 5 do CSCIP e que atende as seguintes especificações:</w:t>
            </w:r>
          </w:p>
        </w:tc>
      </w:tr>
      <w:tr>
        <w:trPr>
          <w:trHeight w:val="283" w:hRule="atLeast"/>
        </w:trPr>
        <w:tc>
          <w:tcPr>
            <w:tcW w:w="418" w:type="dxa"/>
            <w:tcBorders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a.</w:t>
            </w:r>
          </w:p>
        </w:tc>
        <w:tc>
          <w:tcPr>
            <w:tcW w:w="9798" w:type="dxa"/>
            <w:gridSpan w:val="35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ind w:left="-114" w:righ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Possuir área total construída menor 1.500m² para risco leve e menor que 1.000m² para risco moderado ou elevado;</w:t>
            </w:r>
          </w:p>
        </w:tc>
      </w:tr>
      <w:tr>
        <w:trPr>
          <w:trHeight w:val="283" w:hRule="atLeast"/>
        </w:trPr>
        <w:tc>
          <w:tcPr>
            <w:tcW w:w="418" w:type="dxa"/>
            <w:tcBorders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b.</w:t>
            </w:r>
          </w:p>
        </w:tc>
        <w:tc>
          <w:tcPr>
            <w:tcW w:w="9798" w:type="dxa"/>
            <w:gridSpan w:val="35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ind w:left="-114" w:righ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Possuir altura igual ou inferior a 9,0m quando de risco leve;</w:t>
            </w:r>
          </w:p>
        </w:tc>
      </w:tr>
      <w:tr>
        <w:trPr>
          <w:trHeight w:val="283" w:hRule="atLeast"/>
        </w:trPr>
        <w:tc>
          <w:tcPr>
            <w:tcW w:w="418" w:type="dxa"/>
            <w:tcBorders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c.</w:t>
            </w:r>
          </w:p>
        </w:tc>
        <w:tc>
          <w:tcPr>
            <w:tcW w:w="9798" w:type="dxa"/>
            <w:gridSpan w:val="35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ind w:left="-114" w:righ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Possuir altura igual ou inferior a 6,0m quando de risco moderado ou elevado;</w:t>
            </w:r>
          </w:p>
        </w:tc>
      </w:tr>
      <w:tr>
        <w:trPr>
          <w:trHeight w:val="283" w:hRule="atLeast"/>
        </w:trPr>
        <w:tc>
          <w:tcPr>
            <w:tcW w:w="418" w:type="dxa"/>
            <w:tcBorders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d.</w:t>
            </w:r>
          </w:p>
        </w:tc>
        <w:tc>
          <w:tcPr>
            <w:tcW w:w="9798" w:type="dxa"/>
            <w:gridSpan w:val="35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ind w:left="-114" w:righ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Não possuir subsolo com ocupação diferente de estacionamento;</w:t>
            </w:r>
          </w:p>
        </w:tc>
      </w:tr>
      <w:tr>
        <w:trPr>
          <w:trHeight w:val="283" w:hRule="atLeast"/>
        </w:trPr>
        <w:tc>
          <w:tcPr>
            <w:tcW w:w="418" w:type="dxa"/>
            <w:tcBorders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e.</w:t>
            </w:r>
          </w:p>
        </w:tc>
        <w:tc>
          <w:tcPr>
            <w:tcW w:w="9798" w:type="dxa"/>
            <w:gridSpan w:val="35"/>
            <w:tcBorders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ind w:left="-114" w:righ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Não comercializar ou armazenar volume superior a 250L (duzentos e cinquenta litros) de líquido inflamável ou combustível;</w:t>
            </w:r>
          </w:p>
        </w:tc>
      </w:tr>
      <w:tr>
        <w:trPr>
          <w:trHeight w:val="283" w:hRule="atLeast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d.</w:t>
            </w:r>
          </w:p>
        </w:tc>
        <w:tc>
          <w:tcPr>
            <w:tcW w:w="9798" w:type="dxa"/>
            <w:gridSpan w:val="35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ind w:left="-114" w:righ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Não armazenar volume superior a 190kg (cento e noventa quilogramas) do GLP.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9"/>
        <w:gridCol w:w="1332"/>
        <w:gridCol w:w="5395"/>
      </w:tblGrid>
      <w:tr>
        <w:trPr>
          <w:trHeight w:val="283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7. AVALIAÇÃO DAS SAÍDAS DE EMERGÊNCIA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Declaro que as saídas de emergências se encontram de acordo o constante na NPT 011 – Saídas de Emergência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8. AVALIAÇÃO DOS EXTINTORES DE INCÊNDIO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Declaro que os extintores de incêndio foram instalados na edificação de acordo com a NPT 21 – Sistema de proteção por extintores de incêndio e encontram-se com prazo de validade e inspeção em dia.</w:t>
            </w:r>
          </w:p>
        </w:tc>
      </w:tr>
      <w:tr>
        <w:trPr>
          <w:trHeight w:val="283" w:hRule="atLeast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Agente extintor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 xml:space="preserve">Quantitativo / Capacidade extintora </w:t>
            </w:r>
          </w:p>
        </w:tc>
      </w:tr>
      <w:tr>
        <w:trPr>
          <w:trHeight w:val="283" w:hRule="atLeast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Carga de pó ABC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Carga de pó BC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Carga d’água pressurizada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Carga de Dióxido de Carbono (CO2)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Outros (especificar)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9. AVALIAÇÃO DA SINALIZAÇÃO DE EMERGÊNCIA</w:t>
            </w:r>
          </w:p>
        </w:tc>
      </w:tr>
      <w:tr>
        <w:trPr>
          <w:trHeight w:val="283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Declaro que a sinalização de emergência foi instalada na edificação de acordo com a NPT 020 – Sinalização de emergência.</w:t>
            </w:r>
          </w:p>
        </w:tc>
      </w:tr>
      <w:tr>
        <w:trPr>
          <w:trHeight w:val="283" w:hRule="atLeast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Tipo de sinalização / Código da Placa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Quantitativo</w:t>
            </w:r>
          </w:p>
        </w:tc>
      </w:tr>
      <w:tr>
        <w:trPr>
          <w:trHeight w:val="283" w:hRule="atLeast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485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265"/>
        <w:gridCol w:w="4962"/>
      </w:tblGrid>
      <w:tr>
        <w:trPr>
          <w:trHeight w:val="283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10. AVALIAÇÃO DO CONTROLE DE MATERIAL DE ACABAMENTO (se houver)</w:t>
            </w:r>
          </w:p>
        </w:tc>
      </w:tr>
      <w:tr>
        <w:trPr>
          <w:trHeight w:val="283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Declaro que os materiais de acabamento e revestimento utilizados atendem adequadamente ao disposto na NPT 010 – Controle de material de acabamento e revestimento.</w:t>
            </w:r>
          </w:p>
        </w:tc>
      </w:tr>
      <w:tr>
        <w:trPr>
          <w:trHeight w:val="283" w:hRule="atLeast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Finalidade do material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E74B5"/>
                <w:sz w:val="18"/>
                <w:szCs w:val="18"/>
              </w:rPr>
              <w:t>Classe dos materiais empregados</w:t>
            </w:r>
          </w:p>
        </w:tc>
      </w:tr>
      <w:tr>
        <w:trPr>
          <w:trHeight w:val="283" w:hRule="atLeast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Piso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Parede e divisória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Teto e Forro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11. AVALIAÇÃO DA ILUMINAÇÃO DE EMERGÊNCIA</w:t>
            </w:r>
          </w:p>
        </w:tc>
      </w:tr>
      <w:tr>
        <w:trPr>
          <w:trHeight w:val="283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Declaro que a iluminação de emergência foi adequadamente instalada na edificação de acordo com a NPT 18/2014 – Iluminação de Emergência.</w:t>
            </w:r>
          </w:p>
        </w:tc>
      </w:tr>
      <w:tr>
        <w:trPr>
          <w:trHeight w:val="283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12. AVALIAÇÃO DO GLP</w:t>
            </w:r>
          </w:p>
        </w:tc>
      </w:tr>
      <w:tr>
        <w:trPr>
          <w:trHeight w:val="567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Declaro que a central de GLP atende ao disposto na NPT 28 – Manipulação, armazenamento, comercialização e utilização de gás liquefeito de petróleo (GLP), não havendo botijões de GLP no interior da edificação.</w:t>
            </w:r>
          </w:p>
        </w:tc>
      </w:tr>
      <w:tr>
        <w:trPr>
          <w:trHeight w:val="283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color w:val="2E74B5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2E74B5"/>
                <w:sz w:val="20"/>
                <w:szCs w:val="20"/>
              </w:rPr>
              <w:t>13. DECLARAÇÕES GENÉRICAS</w:t>
            </w:r>
          </w:p>
        </w:tc>
      </w:tr>
      <w:tr>
        <w:trPr>
          <w:trHeight w:val="1417" w:hRule="atLeast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80" w:leader="none"/>
              </w:tabs>
              <w:ind w:left="0" w:right="0" w:hanging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Declaro estar ciente de que o Corpo de Bombeiros pode, a qualquer tempo, verificar as informações e declarações prestadas, inclusive por meio de fiscalizações e de solicitação de documentos;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80" w:leader="none"/>
              </w:tabs>
              <w:ind w:left="0" w:right="0" w:hanging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Declaro estar ciente de que não devem ser alteradas as características da edificação e da ocupação apresentada;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180" w:leader="none"/>
              </w:tabs>
              <w:ind w:left="0" w:right="0" w:hanging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O registro de informações inverídicas pode acarretar ao usuário o crime de falsidade ideológica, tipificado no Artigo 299 do Código Penal, com previsão de pena de um a cinco anos de reclusão e multa, sem prejuízo das providências administrativas e cíveis cabíveis.</w:t>
            </w:r>
          </w:p>
        </w:tc>
      </w:tr>
      <w:tr>
        <w:trPr>
          <w:trHeight w:val="1871" w:hRule="atLeast"/>
        </w:trPr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Responsável técnico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Proprietário/ Responsável pelo uso</w:t>
            </w:r>
          </w:p>
          <w:p>
            <w:pPr>
              <w:pStyle w:val="Normal"/>
              <w:tabs>
                <w:tab w:val="clear" w:pos="708"/>
                <w:tab w:val="left" w:pos="1110" w:leader="none"/>
              </w:tabs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8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110" w:leader="none"/>
              </w:tabs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Folha 02/02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851" w:gutter="0" w:header="283" w:top="851" w:footer="283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 w:cs="Arial"/>
        <w:color w:val="FFFFFF"/>
      </w:rPr>
    </w:pPr>
    <w:r>
      <w:rPr>
        <w:rFonts w:cs="Arial" w:ascii="Arial" w:hAnsi="Arial"/>
        <w:color w:val="FFFFFF"/>
      </w:rPr>
      <w:t>BY WENIZER RUANIS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 w:cs="Arial"/>
        <w:color w:val="FFFFFF"/>
      </w:rPr>
    </w:pPr>
    <w:r>
      <w:rPr>
        <w:rFonts w:cs="Arial" w:ascii="Arial" w:hAnsi="Arial"/>
        <w:color w:val="FFFFFF"/>
      </w:rPr>
      <w:t>BY WENIZER RUANIS</w:t>
    </w:r>
  </w:p>
  <w:p>
    <w:pPr>
      <w:pStyle w:val="Cabealho"/>
      <w:jc w:val="center"/>
      <w:rPr>
        <w:rFonts w:ascii="Arial" w:hAnsi="Arial" w:cs="Arial"/>
        <w:color w:val="FFFFFF"/>
      </w:rPr>
    </w:pPr>
    <w:r>
      <w:rPr>
        <w:rFonts w:cs="Arial" w:ascii="Arial" w:hAnsi="Arial"/>
        <w:color w:val="FFFFFF"/>
      </w:rPr>
    </w:r>
  </w:p>
  <w:p>
    <w:pPr>
      <w:pStyle w:val="Cabealho"/>
      <w:rPr>
        <w:sz w:val="4"/>
      </w:rPr>
    </w:pPr>
    <w:r>
      <w:rPr>
        <w:sz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</w:pBdr>
      <w:tabs>
        <w:tab w:val="clear" w:pos="708"/>
        <w:tab w:val="left" w:pos="0" w:leader="none"/>
      </w:tabs>
      <w:suppressAutoHyphens w:val="true"/>
      <w:jc w:val="center"/>
      <w:outlineLvl w:val="2"/>
    </w:pPr>
    <w:rPr>
      <w:b/>
      <w:bCs/>
      <w:color w:val="00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18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2</Pages>
  <Words>645</Words>
  <Characters>3638</Characters>
  <CharactersWithSpaces>4322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2019-02-08T08:37:00Z</dcterms:created>
  <dc:creator>ekermann</dc:creator>
  <dc:description/>
  <cp:keywords/>
  <dc:language>pt-BR</dc:language>
  <cp:lastModifiedBy/>
  <cp:lastPrinted>2016-04-14T15:59:00Z</cp:lastPrinted>
  <dcterms:modified xsi:type="dcterms:W3CDTF">2023-04-11T16:23:46Z</dcterms:modified>
  <cp:revision>3</cp:revision>
  <dc:subject/>
  <dc:title> </dc:title>
</cp:coreProperties>
</file>